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26" w:rsidRDefault="000F1526" w:rsidP="000F1526">
      <w:pPr>
        <w:tabs>
          <w:tab w:val="right" w:leader="dot" w:pos="4536"/>
        </w:tabs>
        <w:spacing w:before="120" w:after="240"/>
      </w:pPr>
      <w:r w:rsidRPr="00CC32D8">
        <w:rPr>
          <w:bCs/>
        </w:rPr>
        <w:t>Tên đơn vị:</w:t>
      </w:r>
      <w:r>
        <w:rPr>
          <w:b/>
          <w:bCs/>
        </w:rPr>
        <w:t xml:space="preserve"> </w:t>
      </w:r>
      <w:r>
        <w:rPr>
          <w:b/>
        </w:rPr>
        <w:t>…………………………………………………………………………………………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04"/>
        <w:gridCol w:w="16"/>
        <w:gridCol w:w="1228"/>
        <w:gridCol w:w="16"/>
        <w:gridCol w:w="1170"/>
        <w:gridCol w:w="43"/>
        <w:gridCol w:w="1229"/>
      </w:tblGrid>
      <w:tr w:rsidR="000F1526" w:rsidRPr="00177804" w:rsidTr="006B52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034AC4">
              <w:rPr>
                <w:b/>
                <w:bCs/>
              </w:rPr>
              <w:t>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bookmarkStart w:id="0" w:name="NC"/>
            <w:r w:rsidRPr="00034AC4">
              <w:rPr>
                <w:b/>
                <w:bCs/>
              </w:rPr>
              <w:t>CÔNG TÁC NỮ CÔNG</w:t>
            </w:r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034AC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034AC4">
              <w:rPr>
                <w:b/>
                <w:bCs/>
              </w:rPr>
              <w:t xml:space="preserve"> điểm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  <w:lang w:val="vi-VN"/>
              </w:rPr>
            </w:pPr>
            <w:r w:rsidRPr="00034AC4">
              <w:rPr>
                <w:b/>
                <w:bCs/>
              </w:rPr>
              <w:t>T</w:t>
            </w:r>
            <w:r w:rsidRPr="00034AC4">
              <w:rPr>
                <w:b/>
                <w:bCs/>
                <w:lang w:val="vi-VN"/>
              </w:rPr>
              <w:t>ự chấm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034AC4">
              <w:rPr>
                <w:b/>
                <w:bCs/>
              </w:rPr>
              <w:t>Lí do trừ</w:t>
            </w:r>
          </w:p>
        </w:tc>
      </w:tr>
      <w:tr w:rsidR="000F1526" w:rsidRPr="00177804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0D5570" w:rsidRDefault="000D5570" w:rsidP="000D5570">
            <w:pPr>
              <w:tabs>
                <w:tab w:val="left" w:pos="6480"/>
              </w:tabs>
              <w:spacing w:before="80" w:after="80"/>
              <w:ind w:left="360"/>
              <w:jc w:val="center"/>
              <w:rPr>
                <w:b/>
                <w:bCs/>
              </w:rPr>
            </w:pPr>
            <w:r w:rsidRPr="000D5570">
              <w:rPr>
                <w:b/>
                <w:bCs/>
              </w:rPr>
              <w:t>I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0F1526" w:rsidRDefault="000F1526" w:rsidP="000F1526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24102F">
              <w:rPr>
                <w:b/>
                <w:color w:val="000000"/>
                <w:sz w:val="26"/>
                <w:szCs w:val="26"/>
              </w:rPr>
              <w:t>Phong trào thi đua “Giỏi việc nước, đảm việc nhà”; công tác chăm lo; đào tạo bồi dưỡng kỹ năng, nghiệp vụ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0D5570" w:rsidRDefault="000D5570" w:rsidP="006B5201">
            <w:pPr>
              <w:tabs>
                <w:tab w:val="left" w:pos="6372"/>
              </w:tabs>
              <w:spacing w:before="80" w:after="80"/>
              <w:jc w:val="center"/>
              <w:rPr>
                <w:b/>
                <w:i/>
              </w:rPr>
            </w:pPr>
            <w:r w:rsidRPr="000D5570">
              <w:rPr>
                <w:b/>
                <w:i/>
              </w:rPr>
              <w:t>6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0F1526" w:rsidRPr="00177804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jc w:val="center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0D5570" w:rsidRDefault="000F1526" w:rsidP="000D5570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eastAsia="vi-VN"/>
              </w:rPr>
            </w:pPr>
            <w:r>
              <w:t xml:space="preserve"> </w:t>
            </w:r>
            <w:r w:rsidRPr="0024102F">
              <w:rPr>
                <w:color w:val="000000"/>
                <w:sz w:val="26"/>
                <w:szCs w:val="26"/>
                <w:lang w:eastAsia="vi-VN"/>
              </w:rPr>
              <w:t>Tổ chức sơ kết phong trào thi đua “Giỏi việc nước, đảm việc nhà” năm 2019 và phát động năm 2020 (trên 90% nữ CNVC-LĐ tại đơn vị đăng ký tham gia và đạt danh hiệu thi đua “Giỏi việc nước, đảm việc nhà”)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</w:p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</w:p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</w:p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  <w:r>
              <w:t xml:space="preserve"> Đơn vị có tổ chức hoạt động chào mừng ngày TL HLHPNVN 20/10 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D5570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0.5</w:t>
            </w:r>
            <w:r w:rsidR="000F1526"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0F1526">
            <w:pPr>
              <w:tabs>
                <w:tab w:val="left" w:pos="6372"/>
              </w:tabs>
              <w:spacing w:before="80" w:after="80"/>
              <w:jc w:val="both"/>
            </w:pPr>
            <w:r>
              <w:t xml:space="preserve">Đơn vị có tham gia hội thi ảnh “Khoảng khắc hạnh phúc” nhân ngày GĐVN 28/6 của BNC CĐĐHQG-HCM.  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D5570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0,5</w:t>
            </w:r>
            <w:r w:rsidR="000F1526"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  <w:r>
              <w:t>Đơn vị có tổ chức hoạt động chào mừng ngày Quốc tế phụ nữ 8/3/2020 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FB5EC8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</w:t>
            </w:r>
            <w:r w:rsidR="000F1526" w:rsidRPr="006016E3">
              <w:rPr>
                <w:i/>
              </w:rPr>
              <w:t>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0F1526">
            <w:pPr>
              <w:tabs>
                <w:tab w:val="left" w:pos="6372"/>
              </w:tabs>
              <w:spacing w:before="80" w:after="80"/>
              <w:jc w:val="both"/>
            </w:pPr>
            <w:r>
              <w:t xml:space="preserve"> Đơn vị có tham gia chuyến giao lưu học tập tại Bạc liêu nhân dịp 20/10  do CĐ ĐHQG –HCM tổ chức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  <w:r>
              <w:t>Đơn vị có kế hoạch và tổ chức tốt các hoạt động chăm lo cho con CNVC-LĐ nhân ngày Quốc tế Thiếu nhi 01/6, hoạt động hè, Trung thu…(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FB5EC8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0.5</w:t>
            </w:r>
            <w:r w:rsidR="000F1526" w:rsidRPr="006016E3">
              <w:rPr>
                <w:i/>
              </w:rPr>
              <w:t xml:space="preserve"> 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  <w:r>
              <w:t>Tổ chức và tạo điều kiện cho các cháu tham dự Trại hè Thanh Đa lần thứ 42 (</w:t>
            </w:r>
            <w:r w:rsidRPr="00EE066D">
              <w:rPr>
                <w:i/>
              </w:rPr>
              <w:t>có phổ biến, nhưng không có cháu tham gia vẫn tính tròn điểm)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0D5570">
            <w:pPr>
              <w:tabs>
                <w:tab w:val="left" w:pos="6372"/>
              </w:tabs>
              <w:spacing w:before="80" w:after="80"/>
              <w:jc w:val="both"/>
            </w:pPr>
            <w:r>
              <w:t xml:space="preserve"> </w:t>
            </w:r>
            <w:r w:rsidR="000D5570">
              <w:t xml:space="preserve">Thực hiện </w:t>
            </w:r>
            <w:r>
              <w:t>chương trình Học bổng Nguyễn Đức Cảnh,  tổ chức trao học bổng Nguyễn Đức Cảnh cấp ĐHQG tại đơn vị đúng đối tượng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  <w:r w:rsidRPr="009820C1">
              <w:t>Tổ chức chăm lo cho nữ CNVC-LĐ có hoàn cảnh khó khăn, ốm đau, bệnh tật, bị tai nạn lao động...</w:t>
            </w:r>
            <w:r>
              <w:t xml:space="preserve"> …(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  <w:r>
              <w:t>Đơn vị có tổ chức khám sức khỏe cho nữ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8321B4" w:rsidTr="006B5201"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DC7AFA" w:rsidRDefault="000F1526" w:rsidP="006B5201">
            <w:pPr>
              <w:pStyle w:val="ListParagraph"/>
              <w:spacing w:before="120" w:after="120" w:line="360" w:lineRule="auto"/>
              <w:ind w:left="0"/>
              <w:jc w:val="both"/>
            </w:pPr>
            <w:r>
              <w:t xml:space="preserve">Đơn vị có tổ chức cho </w:t>
            </w:r>
            <w:r w:rsidRPr="00FE6832">
              <w:t>cán bộ chủ chốt công đoàn được bồi dưỡng, tập huấn nội dung về bình đẳng giới, lồng ghép giới trong hoạt động công đoàn.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FB5EC8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</w:t>
            </w:r>
            <w:r w:rsidR="000F1526" w:rsidRPr="006016E3">
              <w:rPr>
                <w:i/>
              </w:rPr>
              <w:t>5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0D5570" w:rsidRDefault="000D5570" w:rsidP="000D5570">
            <w:pPr>
              <w:tabs>
                <w:tab w:val="left" w:pos="6480"/>
              </w:tabs>
              <w:spacing w:before="80" w:after="80"/>
              <w:ind w:left="360"/>
              <w:jc w:val="center"/>
              <w:rPr>
                <w:b/>
                <w:bCs/>
              </w:rPr>
            </w:pPr>
            <w:r w:rsidRPr="000D5570">
              <w:rPr>
                <w:b/>
                <w:bCs/>
              </w:rPr>
              <w:lastRenderedPageBreak/>
              <w:t>II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0D5570" w:rsidRDefault="000D5570" w:rsidP="006B5201">
            <w:pPr>
              <w:tabs>
                <w:tab w:val="left" w:pos="6372"/>
              </w:tabs>
              <w:spacing w:before="80" w:after="80"/>
              <w:jc w:val="both"/>
              <w:rPr>
                <w:b/>
                <w:bCs/>
                <w:color w:val="FF0000"/>
              </w:rPr>
            </w:pPr>
            <w:r w:rsidRPr="000D5570">
              <w:rPr>
                <w:b/>
                <w:bCs/>
              </w:rPr>
              <w:t xml:space="preserve">Thành lập Ban nữ công và có quyết định thành lập theo nhiệm kỳ CĐCS 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FB5EC8" w:rsidRDefault="000D5570" w:rsidP="006B5201">
            <w:pPr>
              <w:tabs>
                <w:tab w:val="left" w:pos="6372"/>
              </w:tabs>
              <w:spacing w:before="80" w:after="80"/>
              <w:jc w:val="center"/>
              <w:rPr>
                <w:b/>
                <w:i/>
              </w:rPr>
            </w:pPr>
            <w:r w:rsidRPr="00FB5EC8">
              <w:rPr>
                <w:b/>
                <w:i/>
              </w:rPr>
              <w:t>1,5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570" w:rsidRPr="00177804" w:rsidTr="006B5201"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70" w:rsidRPr="000D5570" w:rsidRDefault="000D5570" w:rsidP="000D5570">
            <w:pPr>
              <w:tabs>
                <w:tab w:val="left" w:pos="6480"/>
              </w:tabs>
              <w:spacing w:before="80" w:after="80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5570" w:rsidRPr="000D5570" w:rsidRDefault="000D5570" w:rsidP="006B5201">
            <w:pPr>
              <w:tabs>
                <w:tab w:val="left" w:pos="6372"/>
              </w:tabs>
              <w:spacing w:before="80"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Các nội dung khác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5570" w:rsidRPr="000D5570" w:rsidRDefault="000D5570" w:rsidP="006B5201">
            <w:pPr>
              <w:tabs>
                <w:tab w:val="left" w:pos="6372"/>
              </w:tabs>
              <w:spacing w:before="80" w:after="80"/>
              <w:jc w:val="center"/>
              <w:rPr>
                <w:b/>
                <w:i/>
              </w:rPr>
            </w:pPr>
            <w:r w:rsidRPr="000D5570">
              <w:rPr>
                <w:b/>
                <w:i/>
              </w:rPr>
              <w:t>2</w:t>
            </w:r>
            <w:r w:rsidR="00CE4457">
              <w:rPr>
                <w:b/>
                <w:i/>
              </w:rPr>
              <w:t>,5</w:t>
            </w:r>
            <w:r w:rsidRPr="000D5570">
              <w:rPr>
                <w:b/>
                <w:i/>
              </w:rPr>
              <w:t xml:space="preserve">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5570" w:rsidRDefault="000D5570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5570" w:rsidRDefault="000D5570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0F1526" w:rsidRPr="00177804" w:rsidTr="006B5201">
        <w:trPr>
          <w:trHeight w:val="825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81978" w:rsidRDefault="000D5570" w:rsidP="000D5570">
            <w:pPr>
              <w:tabs>
                <w:tab w:val="left" w:pos="6480"/>
              </w:tabs>
              <w:spacing w:before="80" w:after="80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35E85" w:rsidRDefault="000F1526" w:rsidP="000D5570">
            <w:pPr>
              <w:tabs>
                <w:tab w:val="left" w:pos="6372"/>
              </w:tabs>
              <w:spacing w:before="80" w:after="80"/>
              <w:jc w:val="both"/>
              <w:rPr>
                <w:bCs/>
              </w:rPr>
            </w:pPr>
            <w:r w:rsidRPr="00935E85">
              <w:rPr>
                <w:bCs/>
              </w:rPr>
              <w:t xml:space="preserve"> </w:t>
            </w:r>
            <w:r w:rsidR="000D5570">
              <w:rPr>
                <w:bCs/>
              </w:rPr>
              <w:t xml:space="preserve">Tham gia các hoạt động do CĐ ĐHQG-HCM tổ chức 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016E3" w:rsidRDefault="000D5570" w:rsidP="000D5570">
            <w:pPr>
              <w:tabs>
                <w:tab w:val="left" w:pos="6480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F1526" w:rsidRPr="006016E3">
              <w:rPr>
                <w:i/>
              </w:rPr>
              <w:t xml:space="preserve">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8262EE" w:rsidRDefault="000F1526" w:rsidP="006B5201">
            <w:pPr>
              <w:jc w:val="center"/>
            </w:pPr>
            <w:r w:rsidRPr="008262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2EE">
              <w:instrText xml:space="preserve"> FORMTEXT </w:instrText>
            </w:r>
            <w:r w:rsidRPr="008262EE">
              <w:fldChar w:fldCharType="separate"/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fldChar w:fldCharType="end"/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8262EE" w:rsidRDefault="000F1526" w:rsidP="006B5201">
            <w:pPr>
              <w:jc w:val="center"/>
            </w:pPr>
            <w:r w:rsidRPr="008262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2EE">
              <w:instrText xml:space="preserve"> FORMTEXT </w:instrText>
            </w:r>
            <w:r w:rsidRPr="008262EE">
              <w:fldChar w:fldCharType="separate"/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rPr>
                <w:noProof/>
              </w:rPr>
              <w:t> </w:t>
            </w:r>
            <w:r w:rsidRPr="008262EE">
              <w:fldChar w:fldCharType="end"/>
            </w:r>
          </w:p>
        </w:tc>
      </w:tr>
      <w:tr w:rsidR="000F1526" w:rsidRPr="00177804" w:rsidTr="006B5201">
        <w:trPr>
          <w:trHeight w:val="260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681978" w:rsidRDefault="000D5570" w:rsidP="000D5570">
            <w:pPr>
              <w:tabs>
                <w:tab w:val="left" w:pos="6480"/>
              </w:tabs>
              <w:spacing w:before="80" w:after="80"/>
              <w:ind w:left="360"/>
              <w:jc w:val="right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Default="000F1526" w:rsidP="003B5B5B">
            <w:pPr>
              <w:tabs>
                <w:tab w:val="left" w:pos="6372"/>
              </w:tabs>
              <w:spacing w:before="80" w:after="80"/>
              <w:jc w:val="both"/>
            </w:pPr>
            <w:r>
              <w:t>Xây dựng chươn</w:t>
            </w:r>
            <w:r w:rsidR="003B5B5B">
              <w:t>g trình công tác nữ công năm 2020</w:t>
            </w:r>
            <w:bookmarkStart w:id="1" w:name="_GoBack"/>
            <w:bookmarkEnd w:id="1"/>
            <w:r>
              <w:t>, gởi về Ban Nữ công.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rPr>
          <w:trHeight w:val="1131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681978" w:rsidRDefault="000D5570" w:rsidP="000D5570">
            <w:pPr>
              <w:tabs>
                <w:tab w:val="left" w:pos="6480"/>
              </w:tabs>
              <w:spacing w:before="80" w:after="80"/>
              <w:ind w:left="360"/>
              <w:jc w:val="right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  <w:r>
              <w:t>Thực hiện đầy đủ</w:t>
            </w:r>
            <w:r w:rsidRPr="002256A3">
              <w:t xml:space="preserve"> chế độ </w:t>
            </w:r>
            <w:r>
              <w:t xml:space="preserve">thông tin </w:t>
            </w:r>
            <w:r w:rsidRPr="002256A3">
              <w:t xml:space="preserve">báo cáo </w:t>
            </w:r>
            <w:r>
              <w:t>báo cáo đột xuất; báo cáo hoạt động, quý, 6 tháng, 9 tháng, năm và báo cáo chuyên đề, số liệu theo yêu cầu.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6016E3" w:rsidRDefault="000D5570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F1526" w:rsidRPr="006016E3">
              <w:rPr>
                <w:i/>
              </w:rPr>
              <w:t xml:space="preserve">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526" w:rsidRPr="00177804" w:rsidTr="006B5201"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26" w:rsidRPr="00034AC4" w:rsidRDefault="000F1526" w:rsidP="006B5201">
            <w:pPr>
              <w:tabs>
                <w:tab w:val="left" w:pos="6480"/>
              </w:tabs>
              <w:spacing w:before="80" w:after="80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26" w:rsidRPr="00E50378" w:rsidRDefault="000F1526" w:rsidP="006B5201">
            <w:pPr>
              <w:tabs>
                <w:tab w:val="left" w:pos="6372"/>
              </w:tabs>
              <w:spacing w:before="80" w:after="80"/>
              <w:jc w:val="right"/>
              <w:rPr>
                <w:b/>
              </w:rPr>
            </w:pPr>
            <w:r w:rsidRPr="00E50378">
              <w:rPr>
                <w:b/>
              </w:rPr>
              <w:t>TỔNG CỘNG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26" w:rsidRPr="00E50378" w:rsidRDefault="000F1526" w:rsidP="006B5201">
            <w:pPr>
              <w:tabs>
                <w:tab w:val="left" w:pos="6480"/>
              </w:tabs>
              <w:spacing w:before="80" w:after="80"/>
              <w:jc w:val="center"/>
              <w:rPr>
                <w:b/>
              </w:rPr>
            </w:pPr>
            <w:r w:rsidRPr="00E5037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50378">
              <w:rPr>
                <w:b/>
              </w:rPr>
              <w:t xml:space="preserve">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6" w:rsidRPr="006C1443" w:rsidRDefault="000F1526" w:rsidP="006B5201">
            <w:pPr>
              <w:tabs>
                <w:tab w:val="left" w:pos="6480"/>
              </w:tabs>
              <w:spacing w:before="80" w:after="8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26" w:rsidRPr="008262EE" w:rsidRDefault="00FB5EC8" w:rsidP="006B5201">
            <w:pPr>
              <w:tabs>
                <w:tab w:val="left" w:pos="6480"/>
              </w:tabs>
              <w:spacing w:before="80" w:after="80"/>
              <w:jc w:val="both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1526" w:rsidRPr="00CA19EB" w:rsidRDefault="000F1526" w:rsidP="000F1526"/>
    <w:p w:rsidR="000F1526" w:rsidRDefault="000F1526" w:rsidP="000F1526"/>
    <w:p w:rsidR="00E94655" w:rsidRDefault="00E94655"/>
    <w:sectPr w:rsidR="00E94655" w:rsidSect="00754DD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0BB"/>
    <w:multiLevelType w:val="hybridMultilevel"/>
    <w:tmpl w:val="7F82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26"/>
    <w:rsid w:val="000D5570"/>
    <w:rsid w:val="000F1526"/>
    <w:rsid w:val="003B5B5B"/>
    <w:rsid w:val="00CE4457"/>
    <w:rsid w:val="00E94655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paragraph" w:customStyle="1" w:styleId="msonormalcxspmiddle">
    <w:name w:val="msonormalcxspmiddle"/>
    <w:basedOn w:val="Normal"/>
    <w:rsid w:val="000F15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paragraph" w:customStyle="1" w:styleId="msonormalcxspmiddle">
    <w:name w:val="msonormalcxspmiddle"/>
    <w:basedOn w:val="Normal"/>
    <w:rsid w:val="000F15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3</cp:revision>
  <dcterms:created xsi:type="dcterms:W3CDTF">2020-08-27T04:14:00Z</dcterms:created>
  <dcterms:modified xsi:type="dcterms:W3CDTF">2020-09-07T08:08:00Z</dcterms:modified>
</cp:coreProperties>
</file>